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2CC" w:rsidRPr="00303C79" w:rsidRDefault="007152CC" w:rsidP="007152CC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:rsidR="007152CC" w:rsidRPr="00DE4499" w:rsidRDefault="007152CC" w:rsidP="007152CC">
      <w:pPr>
        <w:shd w:val="clear" w:color="auto" w:fill="DEEAF6" w:themeFill="accent1" w:themeFillTint="33"/>
        <w:spacing w:before="120" w:after="120" w:line="276" w:lineRule="auto"/>
        <w:jc w:val="center"/>
        <w:rPr>
          <w:rFonts w:ascii="GHEA Grapalat" w:hAnsi="GHEA Grapalat"/>
          <w:b/>
          <w:bCs/>
          <w:color w:val="002060"/>
          <w:spacing w:val="20"/>
          <w:sz w:val="28"/>
          <w:szCs w:val="28"/>
          <w:lang w:val="hy-AM"/>
        </w:rPr>
      </w:pP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ՀՐԱՊԱՐԱԿՄԱՆ ԵՆԹԱԿԱ ԴԻՏԱՐԿՄԱՆ ԱՐԴՅՈՒՆՔՆԵՐ</w:t>
      </w:r>
      <w:r w:rsidRPr="00DE4499">
        <w:rPr>
          <w:rFonts w:ascii="GHEA Grapalat" w:hAnsi="GHEA Grapalat"/>
          <w:b/>
          <w:bCs/>
          <w:color w:val="002060"/>
          <w:spacing w:val="20"/>
          <w:sz w:val="28"/>
          <w:szCs w:val="28"/>
          <w:lang w:val="hy-AM"/>
        </w:rPr>
        <w:t xml:space="preserve"> </w:t>
      </w:r>
    </w:p>
    <w:p w:rsidR="007152CC" w:rsidRPr="00DE4499" w:rsidRDefault="007152CC" w:rsidP="007152CC">
      <w:pPr>
        <w:shd w:val="clear" w:color="auto" w:fill="DEEAF6" w:themeFill="accent1" w:themeFillTint="33"/>
        <w:spacing w:before="120" w:after="120" w:line="276" w:lineRule="auto"/>
        <w:jc w:val="center"/>
        <w:rPr>
          <w:rFonts w:ascii="GHEA Grapalat" w:hAnsi="GHEA Grapalat"/>
          <w:b/>
          <w:bCs/>
          <w:color w:val="002060"/>
          <w:sz w:val="28"/>
          <w:szCs w:val="28"/>
          <w:lang w:val="hy-AM"/>
        </w:rPr>
      </w:pPr>
      <w:r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«</w:t>
      </w:r>
      <w:r w:rsidRPr="00594D3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2</w:t>
      </w: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» </w:t>
      </w:r>
      <w:r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փետրվարի</w:t>
      </w: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 202</w:t>
      </w:r>
      <w:r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>6</w:t>
      </w:r>
      <w:r w:rsidRPr="00DE4499">
        <w:rPr>
          <w:rFonts w:ascii="GHEA Grapalat" w:hAnsi="GHEA Grapalat"/>
          <w:b/>
          <w:bCs/>
          <w:color w:val="002060"/>
          <w:sz w:val="28"/>
          <w:szCs w:val="28"/>
          <w:lang w:val="hy-AM"/>
        </w:rPr>
        <w:t xml:space="preserve"> թ.</w:t>
      </w:r>
    </w:p>
    <w:p w:rsidR="007152CC" w:rsidRPr="0051472C" w:rsidRDefault="007152CC" w:rsidP="004B0999">
      <w:pPr>
        <w:rPr>
          <w:lang w:val="hy-AM"/>
        </w:rPr>
      </w:pPr>
    </w:p>
    <w:p w:rsidR="007152CC" w:rsidRPr="000F59BB" w:rsidRDefault="007152CC" w:rsidP="007152CC">
      <w:pPr>
        <w:spacing w:line="240" w:lineRule="auto"/>
        <w:ind w:firstLine="720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TableGrid"/>
        <w:tblW w:w="99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35"/>
        <w:gridCol w:w="7797"/>
      </w:tblGrid>
      <w:tr w:rsidR="007152CC" w:rsidRPr="00594D39" w:rsidTr="00594D39">
        <w:trPr>
          <w:trHeight w:val="1983"/>
        </w:trPr>
        <w:tc>
          <w:tcPr>
            <w:tcW w:w="2135" w:type="dxa"/>
            <w:vAlign w:val="center"/>
          </w:tcPr>
          <w:p w:rsidR="007152CC" w:rsidRPr="004548FB" w:rsidRDefault="007152CC" w:rsidP="00594D39">
            <w:pPr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</w:pP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Դիտարկված ուսումնական հաստատության անվանումը</w:t>
            </w:r>
            <w:r w:rsidRPr="004548FB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, գտնվելու վայրը</w:t>
            </w:r>
          </w:p>
        </w:tc>
        <w:tc>
          <w:tcPr>
            <w:tcW w:w="7797" w:type="dxa"/>
            <w:vAlign w:val="center"/>
          </w:tcPr>
          <w:p w:rsidR="007152CC" w:rsidRDefault="007152CC" w:rsidP="00594D39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Երևանի Մուրացանի անվան թիվ 18 հիմնական դպրոց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ՊՈԱԿ</w:t>
            </w:r>
          </w:p>
          <w:p w:rsidR="007152CC" w:rsidRPr="004912C5" w:rsidRDefault="007152CC" w:rsidP="00594D39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912C5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4912C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4912C5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Երևան, Բագրատունյաց փ</w:t>
            </w:r>
            <w:r w:rsidRPr="004912C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4912C5">
              <w:rPr>
                <w:rFonts w:ascii="GHEA Grapalat" w:hAnsi="GHEA Grapalat"/>
                <w:sz w:val="24"/>
                <w:szCs w:val="24"/>
                <w:lang w:val="hy-AM"/>
              </w:rPr>
              <w:t>, 32 շ</w:t>
            </w:r>
            <w:r w:rsidRPr="004912C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</w:tr>
      <w:tr w:rsidR="007152CC" w:rsidRPr="007152CC" w:rsidTr="00594D39">
        <w:trPr>
          <w:trHeight w:val="1401"/>
        </w:trPr>
        <w:tc>
          <w:tcPr>
            <w:tcW w:w="2135" w:type="dxa"/>
            <w:vAlign w:val="center"/>
          </w:tcPr>
          <w:p w:rsidR="007152CC" w:rsidRPr="00DE4499" w:rsidRDefault="007152CC" w:rsidP="00594D39">
            <w:pPr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</w:pP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t>Դիտարկման առարկան</w:t>
            </w:r>
          </w:p>
        </w:tc>
        <w:tc>
          <w:tcPr>
            <w:tcW w:w="7797" w:type="dxa"/>
            <w:vAlign w:val="center"/>
          </w:tcPr>
          <w:p w:rsidR="007152CC" w:rsidRDefault="007152CC" w:rsidP="00594D39">
            <w:pPr>
              <w:tabs>
                <w:tab w:val="left" w:pos="284"/>
                <w:tab w:val="left" w:pos="567"/>
              </w:tabs>
              <w:spacing w:before="100" w:beforeAutospacing="1" w:after="100" w:afterAutospacing="1" w:line="360" w:lineRule="auto"/>
              <w:ind w:right="-22"/>
              <w:jc w:val="both"/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</w:pPr>
            <w:r w:rsidRPr="00AD383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Ղեկավարվելով </w:t>
            </w:r>
            <w:r w:rsidRPr="00AD3833">
              <w:rPr>
                <w:rFonts w:ascii="GHEA Grapalat" w:eastAsia="Times New Roman" w:hAnsi="GHEA Grapalat" w:cs="Times New Roman"/>
                <w:color w:val="191919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Pr="00AD383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Կրթության բնագավառի տեսչական վերահսկողության մասին» օրենքի 9-րդ հոդվածով, «Տեսչական մարմինների մասին» օրենքի 8-րդ հոդվածի 5-րդ մասի 6-րդ կետով</w:t>
            </w:r>
            <w:r w:rsidRPr="00AD3833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AD383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և հիմք ընդունելով </w:t>
            </w:r>
            <w:r w:rsidRPr="00AD383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  <w:t>Հայաստանի Հանրապետության կրթության տեսչական մարմնի (այսուհետ` տեսչական մարմին</w:t>
            </w:r>
            <w:r w:rsidRPr="00AD383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)</w:t>
            </w:r>
            <w:r w:rsidRPr="00AD3833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 ղեկավարի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202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fr-FR"/>
              </w:rPr>
              <w:t>6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 թվականի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հունվարի 20-ի № 10-Ա հրամանով 202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fr-FR"/>
              </w:rPr>
              <w:t>6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 թվականի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հունվարի 22-</w:t>
            </w:r>
            <w:r w:rsidRPr="00594D39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ին,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23-ին և 26-ին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«Երևանի Մուրացանի անվան թիվ 18 հիմնական դպրոց» ՊՈԱԿ-ում </w:t>
            </w:r>
            <w:r w:rsidRPr="003665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(այսուհետ՝ դպրոց)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իրականացվել է դիտարկում։</w:t>
            </w:r>
          </w:p>
          <w:p w:rsidR="007152CC" w:rsidRDefault="007152CC" w:rsidP="00594D39">
            <w:pPr>
              <w:tabs>
                <w:tab w:val="left" w:pos="284"/>
                <w:tab w:val="left" w:pos="567"/>
              </w:tabs>
              <w:spacing w:before="100" w:beforeAutospacing="1" w:after="100" w:afterAutospacing="1" w:line="360" w:lineRule="auto"/>
              <w:ind w:right="-22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AE5A83">
              <w:rPr>
                <w:rFonts w:ascii="GHEA Grapalat" w:eastAsia="Times New Roman" w:hAnsi="GHEA Grapalat" w:cs="Segoe UI"/>
                <w:sz w:val="24"/>
                <w:szCs w:val="24"/>
                <w:lang w:val="hy-AM"/>
              </w:rPr>
              <w:t xml:space="preserve">Դիտարկման ընթացքում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հիմնանորոգված դպրոցում</w:t>
            </w:r>
            <w:r w:rsidRPr="001258A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AE5A83">
              <w:rPr>
                <w:rFonts w:ascii="GHEA Grapalat" w:eastAsia="Times New Roman" w:hAnsi="GHEA Grapalat" w:cs="Segoe UI"/>
                <w:sz w:val="24"/>
                <w:szCs w:val="24"/>
                <w:lang w:val="hy-AM"/>
              </w:rPr>
              <w:t>տեսազննվել է</w:t>
            </w:r>
            <w:r w:rsidRPr="001258A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հատկացված նոր գույ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քի (այսուհետ՝ գույք) (մարզական գույք </w:t>
            </w:r>
            <w:r w:rsidRPr="001258A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և համակարգչային տեխնիկա) պատշաճ ձևով օգտագործման (ըստ իրենց կիրառության) վերաբերյալ</w:t>
            </w:r>
            <w:r w:rsidRPr="001258A0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Segoe UI"/>
                <w:sz w:val="24"/>
                <w:szCs w:val="24"/>
                <w:lang w:val="hy-AM"/>
              </w:rPr>
              <w:t>կիրառված լինելը</w:t>
            </w:r>
            <w:r w:rsidRPr="00AE5A83">
              <w:rPr>
                <w:rFonts w:ascii="GHEA Grapalat" w:eastAsia="Times New Roman" w:hAnsi="GHEA Grapalat" w:cs="Segoe UI"/>
                <w:sz w:val="24"/>
                <w:szCs w:val="24"/>
                <w:lang w:val="hy-AM"/>
              </w:rPr>
              <w:t xml:space="preserve">, 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ինչպես նաև անցկացվել </w:t>
            </w:r>
            <w:r w:rsidRPr="00594D3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են 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լսումներ վարչական և մանկավարժական աշխատողների հետ և կազմվել արձանագրություններ։</w:t>
            </w:r>
            <w:r w:rsidRPr="00AE5A83">
              <w:rPr>
                <w:rFonts w:ascii="GHEA Grapalat" w:eastAsia="Times New Roman" w:hAnsi="GHEA Grapalat" w:cs="Segoe UI"/>
                <w:sz w:val="24"/>
                <w:szCs w:val="24"/>
                <w:lang w:val="hy-AM"/>
              </w:rPr>
              <w:t xml:space="preserve"> 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Դիտարկումներն իրականացվել են դպրոցի 8-րդ և 9-րդ դասարաններում՝ «Ֆիզկուլտուրա» և «ԹԳՀԳ» առարկաներին առնչվող համապատասխան գույքի կիրառման վերաբերյալ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(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լրացվել են հարցաթերթիկներ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)</w:t>
            </w:r>
            <w:r w:rsidRPr="00AE5A83">
              <w:rPr>
                <w:rFonts w:ascii="Cambria Math" w:eastAsia="Times New Roman" w:hAnsi="Cambria Math" w:cs="Times New Roman"/>
                <w:bCs/>
                <w:sz w:val="24"/>
                <w:szCs w:val="24"/>
                <w:lang w:val="hy-AM"/>
              </w:rPr>
              <w:t>։</w:t>
            </w:r>
            <w:r>
              <w:rPr>
                <w:rFonts w:ascii="Cambria Math" w:eastAsia="Times New Roman" w:hAnsi="Cambria Math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EE64F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Դիտարկման և լսու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մների արդյունքում 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lastRenderedPageBreak/>
              <w:t>պարզվել է, որ</w:t>
            </w:r>
            <w:r w:rsidRPr="00EE64F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դպրոցի վերակառուցման աշխատանքներն ավարտվել են 2023 թվականին։ Դպրոցը ստացել է 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«Ֆիզկուլտուրա»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առարկայի մարզագույք, սակայն լաբորատոր գույք դեռ չի ստացել </w:t>
            </w:r>
            <w:r w:rsidRPr="00EE64F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(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առկա են քիմիայի և կենսաբանության լաբորատորիաներ</w:t>
            </w:r>
            <w:r w:rsidRPr="00EE64FC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)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։ </w:t>
            </w:r>
            <w:r w:rsidRPr="003665A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Լաբորատորիաներն ունեն լաբորանտներ։</w:t>
            </w:r>
          </w:p>
          <w:p w:rsidR="007152CC" w:rsidRDefault="007152CC" w:rsidP="00594D39">
            <w:pPr>
              <w:tabs>
                <w:tab w:val="left" w:pos="851"/>
              </w:tabs>
              <w:spacing w:line="360" w:lineRule="auto"/>
              <w:ind w:firstLine="567"/>
              <w:contextualSpacing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18108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Համաձայն 8-րդ և 9-րդ դասարանների սովորողների լրացրած հարցաթերթիկների տվյալների՝ </w:t>
            </w:r>
            <w:r w:rsidRPr="00594D3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ֆիզկուլտուրայի </w:t>
            </w:r>
            <w:r w:rsidRPr="0018108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դասերը մշտապես անցկացվում են մարզադահլիճում, օգտվում են մարզագույքից, խաղում են բասկետբոլ, թենիս, ֆուտբոլ, վոլեյբոլ,  օգտվում են 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մարմնամարզական </w:t>
            </w:r>
            <w:r w:rsidRPr="0018108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պատից, ունեն գնդակներ, պարաններ, օղակներ, կոներ, մարզական այծիկ, տեղյակ են, որ դպրոցում կան հեծանիվներ, սակայն մեծ մասը չի օգտվում (8-րդ դասարանի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24 սովորողներից 6-ն է օգտվում, 9-րդ դասարանների 33 սովորողներից 5-ն է օգտվում՝ դասերից հետո</w:t>
            </w:r>
            <w:r w:rsidRPr="00BE2F7F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)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։ </w:t>
            </w:r>
          </w:p>
          <w:p w:rsidR="007152CC" w:rsidRDefault="007152CC" w:rsidP="00594D39">
            <w:pP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ascii="Cambria Math" w:eastAsia="Times New Roman" w:hAnsi="Cambria Math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ab/>
              <w:t xml:space="preserve">Համակարգչային գույքն օգտագործում են 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«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ԹԳՀԳ</w:t>
            </w:r>
            <w:r w:rsidRPr="00AE5A8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»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առարկայի դասաժամերին, նրանց համար գույքը բավարար է, սակայն համացանցից օգտվելու հնարավորությունը տրվում է սահմանափակ ժամանակով։ 8-րդ դասարանի բոլոր սովորողները նշել են, որ այլ կայքերից օգտվելու մուտքն արգելված չէ, 9-րդ դասարանների 33 սովորողներից 21-ը նշել են, որ  այլ կայքերից օգտվելու  մուտքն արգելված չէ, 12-ը նշել են, որ այլ կայքերից օգտվելու մուտքն արգելված է։</w:t>
            </w:r>
          </w:p>
          <w:p w:rsidR="007152CC" w:rsidRPr="00DE78AA" w:rsidRDefault="007152CC" w:rsidP="00594D39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152CC" w:rsidRPr="00594D39" w:rsidTr="00594D39">
        <w:tc>
          <w:tcPr>
            <w:tcW w:w="2135" w:type="dxa"/>
            <w:vAlign w:val="center"/>
          </w:tcPr>
          <w:p w:rsidR="007152CC" w:rsidRPr="00DE4499" w:rsidRDefault="007152CC" w:rsidP="00594D39">
            <w:pPr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</w:pP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  <w:lang w:val="hy-AM"/>
              </w:rPr>
              <w:lastRenderedPageBreak/>
              <w:t>Հրապարակման ենթակա դիտարկման արդյունքները</w:t>
            </w:r>
            <w:r w:rsidRPr="00DE4499">
              <w:rPr>
                <w:rFonts w:ascii="GHEA Grapalat" w:hAnsi="GHEA Grapalat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DE4499">
              <w:rPr>
                <w:rFonts w:ascii="Cambria Math" w:hAnsi="Cambria Math" w:cs="Cambria Math"/>
                <w:b/>
                <w:bCs/>
                <w:color w:val="002060"/>
                <w:sz w:val="24"/>
                <w:szCs w:val="24"/>
                <w:lang w:val="hy-AM"/>
              </w:rPr>
              <w:t xml:space="preserve"> </w:t>
            </w:r>
          </w:p>
          <w:p w:rsidR="007152CC" w:rsidRPr="00DE4499" w:rsidRDefault="007152CC" w:rsidP="00594D39">
            <w:pPr>
              <w:jc w:val="both"/>
              <w:rPr>
                <w:rFonts w:ascii="GHEA Grapalat" w:hAnsi="GHEA Grapalat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7797" w:type="dxa"/>
            <w:vAlign w:val="center"/>
          </w:tcPr>
          <w:p w:rsidR="007152CC" w:rsidRDefault="007152CC" w:rsidP="00594D39">
            <w:pPr>
              <w:shd w:val="clear" w:color="auto" w:fill="FFFFFF" w:themeFill="background1"/>
              <w:spacing w:line="276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  <w:p w:rsidR="007152CC" w:rsidRPr="002535B1" w:rsidRDefault="007152CC" w:rsidP="00594D39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535B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Առկա 2 մագլցման պարանները չեն օգտագործվում։</w:t>
            </w:r>
          </w:p>
          <w:p w:rsidR="007152CC" w:rsidRDefault="007152CC" w:rsidP="00594D39">
            <w:pPr>
              <w:shd w:val="clear" w:color="auto" w:fill="FFFFFF" w:themeFill="background1"/>
              <w:spacing w:line="276" w:lineRule="auto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2535B1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Առկա 3 նոր համակարգիչները չեն օգտագործվում։</w:t>
            </w:r>
          </w:p>
          <w:p w:rsidR="007152CC" w:rsidRPr="00594D39" w:rsidRDefault="007152CC" w:rsidP="00594D39">
            <w:pPr>
              <w:shd w:val="clear" w:color="auto" w:fill="FFFFFF" w:themeFill="background1"/>
              <w:spacing w:line="276" w:lineRule="auto"/>
              <w:rPr>
                <w:rFonts w:ascii="GHEA Grapalat" w:hAnsi="GHEA Grapalat" w:cs="Sylfaen"/>
                <w:b/>
                <w:iCs/>
                <w:lang w:val="hy-AM"/>
              </w:rPr>
            </w:pPr>
            <w:r w:rsidRPr="00594D39">
              <w:rPr>
                <w:rFonts w:ascii="GHEA Grapalat" w:hAnsi="GHEA Grapalat" w:cs="Sylfaen"/>
                <w:b/>
                <w:iCs/>
                <w:lang w:val="hy-AM"/>
              </w:rPr>
              <w:t>Խախտվել են՝</w:t>
            </w:r>
          </w:p>
          <w:p w:rsidR="007152CC" w:rsidRDefault="007152CC" w:rsidP="00594D39">
            <w:pPr>
              <w:shd w:val="clear" w:color="auto" w:fill="FFFFFF" w:themeFill="background1"/>
              <w:spacing w:line="276" w:lineRule="auto"/>
              <w:rPr>
                <w:rFonts w:ascii="GHEA Grapalat" w:hAnsi="GHEA Grapalat"/>
                <w:i/>
                <w:shd w:val="clear" w:color="auto" w:fill="FFFFFF"/>
                <w:lang w:val="hy-AM"/>
              </w:rPr>
            </w:pPr>
            <w:r w:rsidRPr="006040E1">
              <w:rPr>
                <w:rFonts w:ascii="GHEA Grapalat" w:hAnsi="GHEA Grapalat" w:cs="Sylfaen"/>
                <w:b/>
                <w:iCs/>
                <w:lang w:val="hy-AM"/>
              </w:rPr>
              <w:t xml:space="preserve">Հայաստանի Հանրապետության  կառավարության`  2023 թվականի փետրվարի 16-ի </w:t>
            </w:r>
            <w:r w:rsidRPr="006040E1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 xml:space="preserve">№ 216-Ն որոշման հավելված 1-ի՝ </w:t>
            </w:r>
            <w:r w:rsidRPr="006040E1">
              <w:rPr>
                <w:rFonts w:ascii="GHEA Grapalat" w:hAnsi="GHEA Grapalat" w:cs="Sylfaen"/>
                <w:b/>
                <w:iCs/>
                <w:lang w:val="hy-AM"/>
              </w:rPr>
              <w:t>«</w:t>
            </w:r>
            <w:r w:rsidRPr="006040E1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 xml:space="preserve">Հայաստանի Հանրապետության հիմնական ծրագրեր իրականացնող </w:t>
            </w:r>
            <w:r w:rsidRPr="006040E1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lastRenderedPageBreak/>
              <w:t>հանրակրթական ուսումնական հաստատության մանկավարժական աշխատողների պաշտոնների նկարագրի» 1-ին գլխի, 12-րդ կետ</w:t>
            </w:r>
            <w:r w:rsidRPr="00594D39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>ի</w:t>
            </w:r>
            <w:r w:rsidRPr="006040E1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 xml:space="preserve">՝ </w:t>
            </w:r>
            <w:r w:rsidRPr="006040E1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«Տնօրենն </w:t>
            </w:r>
            <w:r w:rsidRPr="006040E1">
              <w:rPr>
                <w:rFonts w:ascii="GHEA Grapalat" w:hAnsi="GHEA Grapalat" w:cs="Arial"/>
                <w:color w:val="333333"/>
                <w:lang w:val="hy-AM"/>
              </w:rPr>
              <w:t>ապահովում է արտադասարանական խմբակների, լրացուցիչ կրթական ծառայությունների և ուսումնական լաբորատորիաների, մասնագիտական կողմնորոշման կենտրոնների բնականոն գործունեությունը</w:t>
            </w:r>
            <w:r w:rsidRPr="006040E1">
              <w:rPr>
                <w:rFonts w:ascii="GHEA Grapalat" w:hAnsi="GHEA Grapalat"/>
                <w:i/>
                <w:shd w:val="clear" w:color="auto" w:fill="FFFFFF"/>
                <w:lang w:val="hy-AM"/>
              </w:rPr>
              <w:t>»</w:t>
            </w:r>
            <w:r w:rsidRPr="006040E1">
              <w:rPr>
                <w:rFonts w:ascii="GHEA Grapalat" w:hAnsi="GHEA Grapalat" w:cs="Arial"/>
                <w:color w:val="333333"/>
                <w:lang w:val="hy-AM"/>
              </w:rPr>
              <w:t xml:space="preserve">, </w:t>
            </w:r>
            <w:r w:rsidRPr="006040E1">
              <w:rPr>
                <w:rFonts w:ascii="GHEA Grapalat" w:hAnsi="GHEA Grapalat" w:cs="Arial"/>
                <w:b/>
                <w:color w:val="333333"/>
                <w:lang w:val="hy-AM"/>
              </w:rPr>
              <w:t>13-րդ կետ</w:t>
            </w:r>
            <w:r w:rsidRPr="00594D39">
              <w:rPr>
                <w:rFonts w:ascii="GHEA Grapalat" w:hAnsi="GHEA Grapalat" w:cs="Arial"/>
                <w:b/>
                <w:color w:val="333333"/>
                <w:lang w:val="hy-AM"/>
              </w:rPr>
              <w:t>ի</w:t>
            </w:r>
            <w:r w:rsidRPr="006040E1">
              <w:rPr>
                <w:rFonts w:ascii="GHEA Grapalat" w:hAnsi="GHEA Grapalat" w:cs="Arial"/>
                <w:b/>
                <w:color w:val="333333"/>
                <w:lang w:val="hy-AM"/>
              </w:rPr>
              <w:t>՝</w:t>
            </w:r>
            <w:r w:rsidRPr="006040E1">
              <w:rPr>
                <w:rFonts w:ascii="GHEA Grapalat" w:hAnsi="GHEA Grapalat" w:cs="Arial"/>
                <w:color w:val="333333"/>
                <w:lang w:val="hy-AM"/>
              </w:rPr>
              <w:t xml:space="preserve"> </w:t>
            </w:r>
            <w:r w:rsidRPr="006040E1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«Տնօրենն </w:t>
            </w:r>
            <w:r w:rsidRPr="006040E1">
              <w:rPr>
                <w:rFonts w:ascii="GHEA Grapalat" w:hAnsi="GHEA Grapalat" w:cs="Arial"/>
                <w:color w:val="333333"/>
                <w:lang w:val="hy-AM"/>
              </w:rPr>
              <w:t>իրականացնում է վերահսկողություն դասավանդման բովանդակության, սովորողների գիտելիքների յուրացման որակի, նրանց վարքի, արտադասարանական և արտադպրոցական աշխատանքների կազմակերպման, Հաստատության մանկավարժական և այլ աշխատողների աշխատանքային պարտականությունների կատարման նկատմամբ</w:t>
            </w:r>
            <w:r w:rsidRPr="006040E1">
              <w:rPr>
                <w:rFonts w:ascii="GHEA Grapalat" w:hAnsi="GHEA Grapalat"/>
                <w:i/>
                <w:shd w:val="clear" w:color="auto" w:fill="FFFFFF"/>
                <w:lang w:val="hy-AM"/>
              </w:rPr>
              <w:t>»</w:t>
            </w:r>
            <w:r w:rsidRPr="006040E1">
              <w:rPr>
                <w:rFonts w:ascii="GHEA Grapalat" w:hAnsi="GHEA Grapalat" w:cs="Arial"/>
                <w:color w:val="333333"/>
                <w:lang w:val="hy-AM"/>
              </w:rPr>
              <w:t>,</w:t>
            </w:r>
            <w:r w:rsidRPr="00594D39">
              <w:rPr>
                <w:rFonts w:ascii="GHEA Grapalat" w:hAnsi="GHEA Grapalat" w:cs="Arial"/>
                <w:color w:val="333333"/>
                <w:lang w:val="hy-AM"/>
              </w:rPr>
              <w:t xml:space="preserve"> </w:t>
            </w:r>
            <w:r w:rsidRPr="006040E1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>14-րդ կետ</w:t>
            </w:r>
            <w:r w:rsidRPr="00594D39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>ի</w:t>
            </w:r>
            <w:r w:rsidRPr="006040E1">
              <w:rPr>
                <w:rFonts w:ascii="GHEA Grapalat" w:hAnsi="GHEA Grapalat" w:cs="Sylfaen"/>
                <w:b/>
                <w:shd w:val="clear" w:color="auto" w:fill="FFFFFF"/>
                <w:lang w:val="hy-AM"/>
              </w:rPr>
              <w:t xml:space="preserve">՝ </w:t>
            </w:r>
            <w:r w:rsidRPr="006040E1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«Տնօրենը </w:t>
            </w:r>
            <w:r w:rsidRPr="006040E1">
              <w:rPr>
                <w:rFonts w:ascii="GHEA Grapalat" w:hAnsi="GHEA Grapalat" w:cs="Arial"/>
                <w:color w:val="333333"/>
                <w:shd w:val="clear" w:color="auto" w:fill="FFFFFF"/>
                <w:lang w:val="hy-AM"/>
              </w:rPr>
              <w:t>ուսումնական պլանին համապատասխան՝ ապահովում է հանրակրթական ծրագրերի իրականացումը, կրթական գործընթացի կազմակերպումը և կրում է պատասխանատվություն կրթության որակի և բովանդակության համար</w:t>
            </w:r>
            <w:r w:rsidRPr="006040E1">
              <w:rPr>
                <w:rFonts w:ascii="GHEA Grapalat" w:hAnsi="GHEA Grapalat"/>
                <w:i/>
                <w:shd w:val="clear" w:color="auto" w:fill="FFFFFF"/>
                <w:lang w:val="hy-AM"/>
              </w:rPr>
              <w:t>»</w:t>
            </w:r>
            <w:r w:rsidRPr="00594D39">
              <w:rPr>
                <w:rFonts w:ascii="GHEA Grapalat" w:hAnsi="GHEA Grapalat"/>
                <w:i/>
                <w:shd w:val="clear" w:color="auto" w:fill="FFFFFF"/>
                <w:lang w:val="hy-AM"/>
              </w:rPr>
              <w:t xml:space="preserve"> </w:t>
            </w:r>
            <w:r w:rsidRPr="00594D39">
              <w:rPr>
                <w:rFonts w:ascii="GHEA Grapalat" w:hAnsi="GHEA Grapalat"/>
                <w:b/>
                <w:shd w:val="clear" w:color="auto" w:fill="FFFFFF"/>
                <w:lang w:val="hy-AM"/>
              </w:rPr>
              <w:t>պահանջները</w:t>
            </w:r>
            <w:r w:rsidRPr="006040E1">
              <w:rPr>
                <w:rFonts w:ascii="GHEA Grapalat" w:hAnsi="GHEA Grapalat"/>
                <w:i/>
                <w:shd w:val="clear" w:color="auto" w:fill="FFFFFF"/>
                <w:lang w:val="hy-AM"/>
              </w:rPr>
              <w:t>։</w:t>
            </w:r>
          </w:p>
          <w:p w:rsidR="007152CC" w:rsidRDefault="007152CC" w:rsidP="00594D39">
            <w:pPr>
              <w:spacing w:line="360" w:lineRule="auto"/>
              <w:ind w:firstLine="567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</w:pPr>
          </w:p>
          <w:p w:rsidR="007152CC" w:rsidRPr="00443E5E" w:rsidRDefault="007152CC" w:rsidP="00594D39">
            <w:pPr>
              <w:spacing w:line="360" w:lineRule="auto"/>
              <w:ind w:firstLine="567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81089"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>Դիտարկման արդյունքում տեսչական մարմնի ղեկավարը դպրոցի տնօրենի ժամանակավոր պաշտոնակատարին ներկայացրել է դիտարկման տեղեկանքը և կարգադրագիր (հանձնարարական)՝ բացահայտված խախտումները վերացնելու</w:t>
            </w:r>
            <w:r w:rsidRPr="00443E5E"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>, օրենսդրությանը չհակասող այլ միջոցներ ձեռնարկելու վերաբերյալ</w:t>
            </w:r>
            <w:r w:rsidRPr="00594D39"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>՝</w:t>
            </w:r>
            <w:r w:rsidRPr="00443E5E">
              <w:rPr>
                <w:rFonts w:ascii="GHEA Grapalat" w:eastAsia="Times New Roman" w:hAnsi="GHEA Grapalat" w:cs="Arial"/>
                <w:sz w:val="24"/>
                <w:szCs w:val="24"/>
                <w:lang w:val="hy-AM" w:eastAsia="en-GB"/>
              </w:rPr>
              <w:t xml:space="preserve"> սահմանելով ժամկետներ:</w:t>
            </w:r>
          </w:p>
          <w:p w:rsidR="007152CC" w:rsidRPr="002535B1" w:rsidRDefault="007152CC" w:rsidP="00594D39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7152CC" w:rsidRDefault="007152CC" w:rsidP="007152CC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152CC" w:rsidRDefault="007152CC" w:rsidP="007152CC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7152CC" w:rsidRPr="00303C79" w:rsidRDefault="007152CC" w:rsidP="007152CC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 w:rsidRPr="00303C79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Ծանոթություն</w:t>
      </w:r>
    </w:p>
    <w:p w:rsidR="007152CC" w:rsidRPr="00303C79" w:rsidRDefault="007152CC" w:rsidP="007152CC">
      <w:pPr>
        <w:shd w:val="clear" w:color="auto" w:fill="FFFFFF" w:themeFill="background1"/>
        <w:spacing w:before="120" w:after="120" w:line="240" w:lineRule="auto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 w:rsidRPr="00303C79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Դիտարկման արդյունքների մասին տեղեկատվությունը տեղադրվում է ՀՀ կրթության տեսչական մարմնի պաշտոնական կայքում՝ դիտարկման տեղեկանքն օրենքով սահմանված ժամկետում կազմվելուց հետո եռօրյա ժամկետում։</w:t>
      </w:r>
    </w:p>
    <w:p w:rsidR="007152CC" w:rsidRPr="00C577C5" w:rsidRDefault="007152CC" w:rsidP="007152CC">
      <w:pPr>
        <w:rPr>
          <w:lang w:val="hy-AM"/>
        </w:rPr>
      </w:pPr>
    </w:p>
    <w:p w:rsidR="007152CC" w:rsidRPr="00DE78AA" w:rsidRDefault="007152CC" w:rsidP="007152CC">
      <w:pPr>
        <w:rPr>
          <w:lang w:val="hy-AM"/>
        </w:rPr>
      </w:pPr>
    </w:p>
    <w:p w:rsidR="00F06898" w:rsidRPr="007152CC" w:rsidRDefault="00F06898">
      <w:pPr>
        <w:rPr>
          <w:lang w:val="hy-AM"/>
        </w:rPr>
      </w:pPr>
    </w:p>
    <w:sectPr w:rsidR="00F06898" w:rsidRPr="007152CC" w:rsidSect="005458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651" w:right="708" w:bottom="567" w:left="1276" w:header="561" w:footer="5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A8A" w:rsidRDefault="000F1A8A" w:rsidP="007152CC">
      <w:pPr>
        <w:spacing w:after="0" w:line="240" w:lineRule="auto"/>
      </w:pPr>
      <w:r>
        <w:separator/>
      </w:r>
    </w:p>
  </w:endnote>
  <w:endnote w:type="continuationSeparator" w:id="0">
    <w:p w:rsidR="000F1A8A" w:rsidRDefault="000F1A8A" w:rsidP="00715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2CC" w:rsidRDefault="007152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2CC" w:rsidRDefault="007152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2CC" w:rsidRDefault="00715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A8A" w:rsidRDefault="000F1A8A" w:rsidP="007152CC">
      <w:pPr>
        <w:spacing w:after="0" w:line="240" w:lineRule="auto"/>
      </w:pPr>
      <w:r>
        <w:separator/>
      </w:r>
    </w:p>
  </w:footnote>
  <w:footnote w:type="continuationSeparator" w:id="0">
    <w:p w:rsidR="000F1A8A" w:rsidRDefault="000F1A8A" w:rsidP="00715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2CC" w:rsidRDefault="007152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6384"/>
    </w:tblGrid>
    <w:tr w:rsidR="00545887" w:rsidTr="00303C79">
      <w:tc>
        <w:tcPr>
          <w:tcW w:w="3823" w:type="dxa"/>
        </w:tcPr>
        <w:p w:rsidR="00545887" w:rsidRDefault="000F1A8A" w:rsidP="00545887">
          <w:pPr>
            <w:tabs>
              <w:tab w:val="left" w:pos="735"/>
              <w:tab w:val="right" w:pos="3607"/>
            </w:tabs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r w:rsidRPr="00083DC2">
            <w:rPr>
              <w:rFonts w:ascii="GHEA Grapalat" w:hAnsi="GHEA Grapalat"/>
              <w:noProof/>
              <w:lang w:eastAsia="en-GB"/>
            </w:rPr>
            <w:drawing>
              <wp:inline distT="0" distB="0" distL="0" distR="0" wp14:anchorId="329EE716" wp14:editId="151413E8">
                <wp:extent cx="1965960" cy="72876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5960" cy="728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4" w:type="dxa"/>
          <w:vAlign w:val="bottom"/>
        </w:tcPr>
        <w:p w:rsidR="00545887" w:rsidRDefault="000F1A8A" w:rsidP="00545887">
          <w:pPr>
            <w:shd w:val="clear" w:color="auto" w:fill="FFFFFF" w:themeFill="background1"/>
            <w:jc w:val="right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proofErr w:type="spellStart"/>
          <w:r w:rsidRPr="00DE4499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Հաստատված</w:t>
          </w:r>
          <w:proofErr w:type="spellEnd"/>
          <w:r w:rsidRPr="00DE4499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r w:rsidRPr="00DE4499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է</w:t>
          </w:r>
          <w:r w:rsidRPr="00DE4499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</w:p>
        <w:p w:rsidR="00545887" w:rsidRDefault="000F1A8A" w:rsidP="00545887">
          <w:pPr>
            <w:shd w:val="clear" w:color="auto" w:fill="FFFFFF" w:themeFill="background1"/>
            <w:jc w:val="right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ՀՀ</w:t>
          </w: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կրթության</w:t>
          </w:r>
          <w:proofErr w:type="spellEnd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տեսչական</w:t>
          </w:r>
          <w:proofErr w:type="spellEnd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մարմնի</w:t>
          </w:r>
          <w:proofErr w:type="spellEnd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ղեկավարի</w:t>
          </w:r>
          <w:proofErr w:type="spellEnd"/>
        </w:p>
        <w:p w:rsidR="00545887" w:rsidRDefault="000F1A8A" w:rsidP="00545887">
          <w:pPr>
            <w:shd w:val="clear" w:color="auto" w:fill="FFFFFF" w:themeFill="background1"/>
            <w:jc w:val="right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  <w:r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</w:t>
          </w:r>
          <w:r w:rsidR="007152CC" w:rsidRPr="007152CC">
            <w:rPr>
              <w:rFonts w:ascii="GHEA Grapalat" w:hAnsi="GHEA Grapalat"/>
              <w:color w:val="002060"/>
              <w:sz w:val="20"/>
              <w:szCs w:val="20"/>
              <w:lang w:val="hy-AM"/>
            </w:rPr>
            <w:t>20</w:t>
          </w:r>
          <w:r w:rsidR="007152CC" w:rsidRPr="007152CC">
            <w:rPr>
              <w:rFonts w:ascii="Cambria Math" w:hAnsi="Cambria Math"/>
              <w:color w:val="002060"/>
              <w:sz w:val="20"/>
              <w:szCs w:val="20"/>
              <w:lang w:val="hy-AM"/>
            </w:rPr>
            <w:t>․01․</w:t>
          </w:r>
          <w:r w:rsidRPr="007152CC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 20</w:t>
          </w:r>
          <w:r w:rsidR="007152CC" w:rsidRPr="007152CC">
            <w:rPr>
              <w:rFonts w:ascii="GHEA Grapalat" w:hAnsi="GHEA Grapalat"/>
              <w:color w:val="002060"/>
              <w:sz w:val="20"/>
              <w:szCs w:val="20"/>
              <w:lang w:val="hy-AM"/>
            </w:rPr>
            <w:t>26</w:t>
          </w:r>
          <w:r w:rsidRPr="007152CC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թ</w:t>
          </w:r>
          <w:r w:rsidR="007152CC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 xml:space="preserve">. N </w:t>
          </w:r>
          <w:r w:rsidR="007152CC">
            <w:rPr>
              <w:rFonts w:ascii="GHEA Grapalat" w:hAnsi="GHEA Grapalat"/>
              <w:color w:val="002060"/>
              <w:sz w:val="20"/>
              <w:szCs w:val="20"/>
              <w:lang w:val="hy-AM"/>
            </w:rPr>
            <w:t xml:space="preserve">10-Ա </w:t>
          </w:r>
          <w:proofErr w:type="spellStart"/>
          <w:r w:rsidRPr="007152CC">
            <w:rPr>
              <w:rFonts w:ascii="GHEA Grapalat" w:hAnsi="GHEA Grapalat"/>
              <w:color w:val="002060"/>
              <w:sz w:val="20"/>
              <w:szCs w:val="20"/>
              <w:lang w:val="en-US"/>
            </w:rPr>
            <w:t>հրամանով</w:t>
          </w:r>
          <w:proofErr w:type="spellEnd"/>
        </w:p>
        <w:p w:rsidR="00545887" w:rsidRDefault="000F1A8A" w:rsidP="00545887">
          <w:pPr>
            <w:shd w:val="clear" w:color="auto" w:fill="FFFFFF" w:themeFill="background1"/>
            <w:rPr>
              <w:rFonts w:ascii="GHEA Grapalat" w:hAnsi="GHEA Grapalat"/>
              <w:color w:val="002060"/>
              <w:sz w:val="20"/>
              <w:szCs w:val="20"/>
              <w:lang w:val="en-US"/>
            </w:rPr>
          </w:pPr>
        </w:p>
      </w:tc>
      <w:bookmarkStart w:id="0" w:name="_GoBack"/>
      <w:bookmarkEnd w:id="0"/>
    </w:tr>
  </w:tbl>
  <w:p w:rsidR="00545887" w:rsidRPr="00545887" w:rsidRDefault="000F1A8A" w:rsidP="00545887">
    <w:pPr>
      <w:shd w:val="clear" w:color="auto" w:fill="FFFFFF" w:themeFill="background1"/>
      <w:tabs>
        <w:tab w:val="left" w:pos="735"/>
        <w:tab w:val="right" w:pos="9923"/>
      </w:tabs>
      <w:spacing w:after="0" w:line="240" w:lineRule="aut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2CC" w:rsidRDefault="007152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CC"/>
    <w:rsid w:val="000F1A8A"/>
    <w:rsid w:val="004B0999"/>
    <w:rsid w:val="007152CC"/>
    <w:rsid w:val="00F0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64BA17"/>
  <w15:chartTrackingRefBased/>
  <w15:docId w15:val="{0B74D661-18FD-490E-AEF8-94F08BA6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5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2CC"/>
  </w:style>
  <w:style w:type="paragraph" w:styleId="Footer">
    <w:name w:val="footer"/>
    <w:basedOn w:val="Normal"/>
    <w:link w:val="FooterChar"/>
    <w:uiPriority w:val="99"/>
    <w:unhideWhenUsed/>
    <w:rsid w:val="00715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Petrosyan</dc:creator>
  <cp:keywords/>
  <dc:description/>
  <cp:lastModifiedBy>Petrosyan</cp:lastModifiedBy>
  <cp:revision>2</cp:revision>
  <dcterms:created xsi:type="dcterms:W3CDTF">2026-02-16T06:13:00Z</dcterms:created>
  <dcterms:modified xsi:type="dcterms:W3CDTF">2026-02-16T06:15:00Z</dcterms:modified>
</cp:coreProperties>
</file>